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480" w:lineRule="auto"/>
        <w:ind w:left="0" w:leftChars="0" w:firstLine="0" w:firstLineChars="0"/>
        <w:jc w:val="left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  <w:t>附件1：</w:t>
      </w:r>
    </w:p>
    <w:p>
      <w:pPr>
        <w:pStyle w:val="7"/>
        <w:spacing w:line="480" w:lineRule="auto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  <w:t>地质勘察工作量及价格测算</w:t>
      </w:r>
    </w:p>
    <w:tbl>
      <w:tblPr>
        <w:tblStyle w:val="4"/>
        <w:tblpPr w:leftFromText="180" w:rightFromText="180" w:vertAnchor="text" w:horzAnchor="page" w:tblpX="1873" w:tblpY="622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3573"/>
        <w:gridCol w:w="637"/>
        <w:gridCol w:w="637"/>
        <w:gridCol w:w="962"/>
        <w:gridCol w:w="1148"/>
        <w:gridCol w:w="10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4"/>
                <w:szCs w:val="24"/>
              </w:rPr>
              <w:br w:type="page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南塘河白云路（仲恺大道-陈江大道）明渠改造工程地质勘察工作量及价格测算表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工程或费用名称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基价(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金额(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标准编号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工程地质测绘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2983.50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3.2-2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基价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2295.00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（1）1：10000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Km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765.00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3.2-2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（2）1：5000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Km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1530.00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3.2-2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（3）1：500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Km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0.2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11475.00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2295.00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3.2-2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2.带状工程地质测绘增加30%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688.50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3.2-2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勘探费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39245.20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Ⅰ类岩土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(1)0.0~10.0m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(2)10.0~20.0m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Ⅱ类岩土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(1)0.0~10.0m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2840.00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(2)10.0~20.0m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(3)20.0~30.0m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(4)30.0~40.0m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Ⅲ类岩土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(1)0.0~10.0m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7020.00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(2)10.0~20.0m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4410.00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(3)20.0~30.0m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(4)30.0~40.0m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Ⅳ类岩土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(1)0.0~10.0m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(2)10.0~20.0m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5180.00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(3)20.0~30.0m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(4)30.0~40.0m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(5)40.0~50.0m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跟管或泥浆护壁钻进增加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50%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8040.00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74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跟管或泥浆护壁钻进增加仅计算Ⅰ、Ⅱ、Ⅲ类松散土层，岩层未计入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6.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坑槽探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72.00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7.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标准贯入试验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108.00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1944.00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8.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重型动力触探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300.00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9.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注水试验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段次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409.00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10.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取原状土样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40.00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11.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取岩芯样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25.00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12.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取水样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40.00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3.3-3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13.</w:t>
            </w: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线路上作业增加</w:t>
            </w:r>
            <w:r>
              <w:rPr>
                <w:rStyle w:val="12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30%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7201.20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室内土工试验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6722.00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原状土样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349.00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6282.00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8.2-1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扰动大样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652.00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8.2-1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岩样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168.00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8.4-1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8.4-2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水样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220.00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440.00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8.3-1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技术工作费=[(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一)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+(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二)+（三）］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×100%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48950.70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3.1-1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五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97901.40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编制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:</w:t>
            </w:r>
          </w:p>
        </w:tc>
        <w:tc>
          <w:tcPr>
            <w:tcW w:w="3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陆胜平</w:t>
            </w:r>
          </w:p>
        </w:tc>
        <w:tc>
          <w:tcPr>
            <w:tcW w:w="12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复核:陈宏华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2024年5月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说明：</w:t>
            </w:r>
          </w:p>
        </w:tc>
        <w:tc>
          <w:tcPr>
            <w:tcW w:w="774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①本预算依据国家计委、建设部计价格[2002]10号文《工程勘察设计收费标准》计算。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②本预算为按照收费标准所定项目基价所进行的单价预算。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③本预算包含室内土工试验项目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④工程项目的数量为预测的工程量：本次整治长度为1036.53m，可研阶段按每200布设一个断面，每个断面布设2个孔，共布设6个断面计12个孔，平均孔深按15m估算，进尺共约180m。</w:t>
            </w:r>
          </w:p>
        </w:tc>
      </w:tr>
    </w:tbl>
    <w:p>
      <w:pPr>
        <w:rPr>
          <w:rFonts w:hint="default" w:ascii="Times New Roman" w:hAnsi="Times New Roman" w:eastAsia="微软雅黑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color w:val="auto"/>
          <w:sz w:val="28"/>
          <w:szCs w:val="28"/>
          <w:lang w:val="en-US" w:eastAsia="zh-CN"/>
        </w:rPr>
        <w:br w:type="page"/>
      </w:r>
    </w:p>
    <w:tbl>
      <w:tblPr>
        <w:tblStyle w:val="4"/>
        <w:tblW w:w="0" w:type="auto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"/>
        <w:gridCol w:w="1890"/>
        <w:gridCol w:w="662"/>
        <w:gridCol w:w="660"/>
        <w:gridCol w:w="615"/>
        <w:gridCol w:w="843"/>
        <w:gridCol w:w="1444"/>
        <w:gridCol w:w="1091"/>
        <w:gridCol w:w="14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43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4"/>
                <w:szCs w:val="24"/>
              </w:rPr>
              <w:br w:type="page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南塘河白云路（仲恺大道-陈江大道）明渠改造工程测绘费用预算表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项目内容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工作量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调整系数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算</w:t>
            </w:r>
            <w:r>
              <w:rPr>
                <w:rStyle w:val="14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 xml:space="preserve">   </w:t>
            </w:r>
            <w:r>
              <w:rPr>
                <w:rStyle w:val="13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式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取费额（元）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备</w:t>
            </w:r>
            <w:r>
              <w:rPr>
                <w:rStyle w:val="14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 xml:space="preserve">   </w:t>
            </w:r>
            <w:r>
              <w:rPr>
                <w:rStyle w:val="13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9" w:hRule="atLeast"/>
        </w:trPr>
        <w:tc>
          <w:tcPr>
            <w:tcW w:w="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连接已有控制点（四等点）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3112 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3×3112×0.5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4668.00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表2.2-2、表2.2-3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E级GPS测量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3203 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4×3203×1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12812.00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表2.2-2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四等水准测量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2.241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km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250 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2.241×250×1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560.25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表2.2-2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图根控制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101 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34×101×1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3434.00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表2.2-2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1:500数字化地形测量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0.139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15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km</w:t>
            </w:r>
            <w:r>
              <w:rPr>
                <w:rStyle w:val="16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44510 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0.139×44510×2.8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17323.29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表2.2-2;表2.2-3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1:200断面测量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0.408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km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4316 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0.408×4316×1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1760.93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表2.3-2;表2.2-3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工程测量技术工作费比例22%</w:t>
            </w:r>
          </w:p>
        </w:tc>
        <w:tc>
          <w:tcPr>
            <w:tcW w:w="27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(1+2…+6)×0.22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8922.86 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进退场及材料费比例3%</w:t>
            </w:r>
          </w:p>
        </w:tc>
        <w:tc>
          <w:tcPr>
            <w:tcW w:w="27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(1+2…+6)×0.03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1216.75 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3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               计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人民币</w:t>
            </w:r>
          </w:p>
        </w:tc>
        <w:tc>
          <w:tcPr>
            <w:tcW w:w="14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伍万零陆佰玖拾捌</w:t>
            </w:r>
          </w:p>
        </w:tc>
        <w:tc>
          <w:tcPr>
            <w:tcW w:w="14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元整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50698.09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43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根据实测的工作量，按照国家计委、建设部2002年制定《工程勘察设计收费标准》进行结算。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843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default" w:ascii="Times New Roman" w:hAnsi="Times New Roman" w:eastAsia="微软雅黑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微软雅黑" w:cs="Times New Roman"/>
          <w:color w:val="auto"/>
          <w:sz w:val="24"/>
          <w:szCs w:val="24"/>
        </w:rPr>
        <w:br w:type="page"/>
      </w:r>
    </w:p>
    <w:tbl>
      <w:tblPr>
        <w:tblStyle w:val="4"/>
        <w:tblW w:w="0" w:type="auto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707"/>
        <w:gridCol w:w="1079"/>
        <w:gridCol w:w="568"/>
        <w:gridCol w:w="720"/>
        <w:gridCol w:w="931"/>
        <w:gridCol w:w="1082"/>
        <w:gridCol w:w="1243"/>
        <w:gridCol w:w="15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南塘河白云路（仲恺大道-陈江大道）明渠改造工程地下管线探测费用预算表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复杂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程度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计费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收费基价(元)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工作量(km)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取费额(元)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地下管线探测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电缆（电力、通讯等）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元/km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13.000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46800.00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工勘费（2002）7.2.13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元/km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工勘费（2002）7.2.13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非金属管道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元/km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工勘费（2002）7.2.13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下水道（有窨井）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元/km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工勘费（2002）7.2.13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地下管线测量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地下电缆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元/km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13.000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18798.00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工勘费（2002）2.4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工业管道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元/km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工勘费（2002）2.4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上下水及暖气管道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元/km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6.000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11688.00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工勘费（2002）2.4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技术工作费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22%×（1+2+3+4+5+6+7）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23118.92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工勘费（2002）7.1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1+2+3+4+5+6+7+8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128204.92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说明：以上管线的长度是预计的长度。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大标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3ZmEwZDg0MjliNDhkYzY0NTcwZWIyYzNhNDlhYmIifQ=="/>
  </w:docVars>
  <w:rsids>
    <w:rsidRoot w:val="00000000"/>
    <w:rsid w:val="17E26DD7"/>
    <w:rsid w:val="24433A33"/>
    <w:rsid w:val="249B0953"/>
    <w:rsid w:val="30276009"/>
    <w:rsid w:val="330015CF"/>
    <w:rsid w:val="71D5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_Style 2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8">
    <w:name w:val="font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1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10">
    <w:name w:val="font112"/>
    <w:basedOn w:val="6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  <w:vertAlign w:val="superscript"/>
    </w:rPr>
  </w:style>
  <w:style w:type="character" w:customStyle="1" w:styleId="11">
    <w:name w:val="font121"/>
    <w:basedOn w:val="6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131"/>
    <w:basedOn w:val="6"/>
    <w:qFormat/>
    <w:uiPriority w:val="0"/>
    <w:rPr>
      <w:rFonts w:hint="default" w:ascii="Times New Roman" w:hAnsi="Times New Roman" w:cs="Times New Roman"/>
      <w:color w:val="FF0000"/>
      <w:sz w:val="24"/>
      <w:szCs w:val="24"/>
      <w:u w:val="none"/>
    </w:rPr>
  </w:style>
  <w:style w:type="character" w:customStyle="1" w:styleId="13">
    <w:name w:val="font11"/>
    <w:basedOn w:val="6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14">
    <w:name w:val="font61"/>
    <w:basedOn w:val="6"/>
    <w:qFormat/>
    <w:uiPriority w:val="0"/>
    <w:rPr>
      <w:rFonts w:hint="default" w:ascii="Times New Roman" w:hAnsi="Times New Roman" w:cs="Times New Roman"/>
      <w:b/>
      <w:bCs/>
      <w:color w:val="000000"/>
      <w:sz w:val="28"/>
      <w:szCs w:val="28"/>
      <w:u w:val="none"/>
    </w:rPr>
  </w:style>
  <w:style w:type="character" w:customStyle="1" w:styleId="15">
    <w:name w:val="font21"/>
    <w:basedOn w:val="6"/>
    <w:qFormat/>
    <w:uiPriority w:val="0"/>
    <w:rPr>
      <w:rFonts w:hint="eastAsia" w:ascii="新宋体" w:hAnsi="新宋体" w:eastAsia="新宋体" w:cs="新宋体"/>
      <w:color w:val="000000"/>
      <w:sz w:val="24"/>
      <w:szCs w:val="24"/>
      <w:u w:val="none"/>
    </w:rPr>
  </w:style>
  <w:style w:type="character" w:customStyle="1" w:styleId="16">
    <w:name w:val="font71"/>
    <w:basedOn w:val="6"/>
    <w:qFormat/>
    <w:uiPriority w:val="0"/>
    <w:rPr>
      <w:rFonts w:hint="eastAsia" w:ascii="新宋体" w:hAnsi="新宋体" w:eastAsia="新宋体" w:cs="新宋体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2024-06-24T00:32:00Z</dcterms:created>
  <dc:creator>Administrator</dc:creator>
  <cp:lastModifiedBy>　　　　　　　　</cp:lastModifiedBy>
  <dcterms:modified xsi:type="dcterms:W3CDTF">2024-06-24T08:33:13Z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E359AB8CD2AB410CBAD8DE21A6143ADA</vt:lpwstr>
  </property>
</Properties>
</file>