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ind w:firstLine="432" w:firstLineChars="100"/>
        <w:jc w:val="center"/>
        <w:rPr>
          <w:rFonts w:hint="eastAsia" w:ascii="宋体" w:hAnsi="宋体" w:eastAsia="宋体" w:cs="宋体"/>
          <w:b/>
          <w:bCs/>
          <w:spacing w:val="-10"/>
          <w:sz w:val="45"/>
          <w:szCs w:val="45"/>
          <w:lang w:eastAsia="zh-CN"/>
        </w:rPr>
      </w:pPr>
      <w:r>
        <w:rPr>
          <w:rFonts w:ascii="宋体" w:hAnsi="宋体" w:eastAsia="宋体" w:cs="宋体"/>
          <w:b/>
          <w:bCs/>
          <w:spacing w:val="-10"/>
          <w:sz w:val="45"/>
          <w:szCs w:val="45"/>
        </w:rPr>
        <w:t>报</w:t>
      </w:r>
      <w:r>
        <w:rPr>
          <w:rFonts w:ascii="宋体" w:hAnsi="宋体" w:eastAsia="宋体" w:cs="宋体"/>
          <w:spacing w:val="-44"/>
          <w:sz w:val="45"/>
          <w:szCs w:val="45"/>
        </w:rPr>
        <w:t xml:space="preserve"> </w:t>
      </w:r>
      <w:r>
        <w:rPr>
          <w:rFonts w:ascii="宋体" w:hAnsi="宋体" w:eastAsia="宋体" w:cs="宋体"/>
          <w:b/>
          <w:bCs/>
          <w:spacing w:val="-10"/>
          <w:sz w:val="45"/>
          <w:szCs w:val="45"/>
        </w:rPr>
        <w:t>价</w:t>
      </w:r>
      <w:r>
        <w:rPr>
          <w:rFonts w:ascii="宋体" w:hAnsi="宋体" w:eastAsia="宋体" w:cs="宋体"/>
          <w:spacing w:val="-37"/>
          <w:sz w:val="45"/>
          <w:szCs w:val="45"/>
        </w:rPr>
        <w:t xml:space="preserve"> </w:t>
      </w:r>
      <w:r>
        <w:rPr>
          <w:rFonts w:ascii="宋体" w:hAnsi="宋体" w:eastAsia="宋体" w:cs="宋体"/>
          <w:b/>
          <w:bCs/>
          <w:spacing w:val="-10"/>
          <w:sz w:val="45"/>
          <w:szCs w:val="45"/>
        </w:rPr>
        <w:t>书</w:t>
      </w:r>
      <w:r>
        <w:rPr>
          <w:rFonts w:hint="eastAsia" w:ascii="宋体" w:hAnsi="宋体" w:eastAsia="宋体" w:cs="宋体"/>
          <w:b/>
          <w:bCs/>
          <w:spacing w:val="-10"/>
          <w:sz w:val="45"/>
          <w:szCs w:val="45"/>
          <w:lang w:eastAsia="zh-CN"/>
        </w:rPr>
        <w:t>（</w:t>
      </w:r>
      <w:r>
        <w:rPr>
          <w:rFonts w:hint="eastAsia" w:ascii="宋体" w:hAnsi="宋体" w:eastAsia="宋体" w:cs="宋体"/>
          <w:b/>
          <w:bCs/>
          <w:spacing w:val="-10"/>
          <w:sz w:val="45"/>
          <w:szCs w:val="45"/>
          <w:lang w:val="en-US" w:eastAsia="zh-CN"/>
        </w:rPr>
        <w:t>样本</w:t>
      </w:r>
      <w:r>
        <w:rPr>
          <w:rFonts w:hint="eastAsia" w:ascii="宋体" w:hAnsi="宋体" w:eastAsia="宋体" w:cs="宋体"/>
          <w:b/>
          <w:bCs/>
          <w:spacing w:val="-10"/>
          <w:sz w:val="45"/>
          <w:szCs w:val="45"/>
          <w:lang w:eastAsia="zh-CN"/>
        </w:rPr>
        <w:t>）</w:t>
      </w:r>
    </w:p>
    <w:p>
      <w:pPr>
        <w:rPr>
          <w:rFonts w:hint="eastAsia"/>
          <w:lang w:eastAsia="zh-CN"/>
        </w:rPr>
      </w:pPr>
    </w:p>
    <w:p>
      <w:pPr>
        <w:bidi w:val="0"/>
        <w:spacing w:line="240" w:lineRule="auto"/>
        <w:jc w:val="both"/>
        <w:rPr>
          <w:rFonts w:hint="eastAsia"/>
          <w:lang w:val="en-US" w:eastAsia="zh-CN"/>
        </w:rPr>
      </w:pPr>
      <w:r>
        <w:rPr>
          <w:rFonts w:hint="eastAsia"/>
          <w:lang w:val="en-US" w:eastAsia="zh-CN"/>
        </w:rPr>
        <w:t>致：仲恺高新区住房和城乡规划建设局</w:t>
      </w:r>
    </w:p>
    <w:p>
      <w:pPr>
        <w:bidi w:val="0"/>
        <w:spacing w:line="240" w:lineRule="auto"/>
        <w:ind w:firstLine="480" w:firstLineChars="200"/>
        <w:jc w:val="both"/>
        <w:rPr>
          <w:rFonts w:hint="eastAsia"/>
          <w:lang w:val="en-US" w:eastAsia="zh-CN"/>
        </w:rPr>
      </w:pPr>
      <w:r>
        <w:rPr>
          <w:rFonts w:hint="eastAsia"/>
          <w:lang w:val="en-US" w:eastAsia="zh-CN"/>
        </w:rPr>
        <w:t>一、根据贵单位《</w:t>
      </w:r>
      <w:r>
        <w:rPr>
          <w:rFonts w:hint="default"/>
          <w:lang w:val="en-US" w:eastAsia="zh-CN"/>
        </w:rPr>
        <w:t>惠州仲恺排水管网监督考核项目</w:t>
      </w:r>
      <w:r>
        <w:rPr>
          <w:rFonts w:hint="eastAsia"/>
          <w:lang w:val="en-US" w:eastAsia="zh-CN"/>
        </w:rPr>
        <w:t>》询价公告的要求，报价单位在此声明并同意：</w:t>
      </w:r>
    </w:p>
    <w:p>
      <w:pPr>
        <w:bidi w:val="0"/>
        <w:spacing w:line="240" w:lineRule="auto"/>
        <w:ind w:firstLine="480" w:firstLineChars="200"/>
        <w:jc w:val="both"/>
        <w:rPr>
          <w:rFonts w:hint="eastAsia"/>
          <w:lang w:val="en-US" w:eastAsia="zh-CN"/>
        </w:rPr>
      </w:pPr>
      <w:r>
        <w:rPr>
          <w:rFonts w:hint="eastAsia"/>
          <w:lang w:val="en-US" w:eastAsia="zh-CN"/>
        </w:rPr>
        <w:t>1、我司(报价单位的简称)愿意遵守询价单位的各项规定，提供符合要求的成果。</w:t>
      </w:r>
    </w:p>
    <w:p>
      <w:pPr>
        <w:bidi w:val="0"/>
        <w:spacing w:line="240" w:lineRule="auto"/>
        <w:ind w:firstLine="480" w:firstLineChars="200"/>
        <w:jc w:val="both"/>
        <w:rPr>
          <w:rFonts w:hint="eastAsia"/>
          <w:lang w:val="en-US" w:eastAsia="zh-CN"/>
        </w:rPr>
      </w:pPr>
      <w:r>
        <w:rPr>
          <w:rFonts w:hint="eastAsia"/>
          <w:lang w:val="en-US" w:eastAsia="zh-CN"/>
        </w:rPr>
        <w:t>2、我司同意本报价自报价日起180天内保持有效。如中标，则有效期延至合同执行期满时止。</w:t>
      </w:r>
      <w:bookmarkStart w:id="1" w:name="_GoBack"/>
      <w:bookmarkEnd w:id="1"/>
    </w:p>
    <w:p>
      <w:pPr>
        <w:bidi w:val="0"/>
        <w:spacing w:line="240" w:lineRule="auto"/>
        <w:ind w:firstLine="480" w:firstLineChars="200"/>
        <w:jc w:val="both"/>
        <w:rPr>
          <w:rFonts w:hint="eastAsia"/>
          <w:lang w:val="en-US" w:eastAsia="zh-CN"/>
        </w:rPr>
      </w:pPr>
      <w:r>
        <w:rPr>
          <w:rFonts w:hint="eastAsia"/>
          <w:lang w:val="en-US" w:eastAsia="zh-CN"/>
        </w:rPr>
        <w:t>3、我司完全理解，询价单位并无义务必须接受最低报价的询价或其它任何询价。</w:t>
      </w:r>
    </w:p>
    <w:p>
      <w:pPr>
        <w:bidi w:val="0"/>
        <w:spacing w:line="240" w:lineRule="auto"/>
        <w:ind w:firstLine="480" w:firstLineChars="200"/>
        <w:jc w:val="both"/>
        <w:rPr>
          <w:rFonts w:hint="eastAsia"/>
          <w:lang w:val="en-US" w:eastAsia="zh-CN"/>
        </w:rPr>
      </w:pPr>
      <w:r>
        <w:rPr>
          <w:rFonts w:hint="eastAsia"/>
          <w:lang w:val="en-US" w:eastAsia="zh-CN"/>
        </w:rPr>
        <w:t>4、我司如果中标，保证履行承诺的全部责任和义务。</w:t>
      </w:r>
    </w:p>
    <w:p>
      <w:pPr>
        <w:bidi w:val="0"/>
        <w:spacing w:line="240" w:lineRule="auto"/>
        <w:ind w:firstLine="480" w:firstLineChars="200"/>
        <w:jc w:val="both"/>
        <w:rPr>
          <w:rFonts w:hint="eastAsia"/>
          <w:lang w:val="en-US" w:eastAsia="zh-CN"/>
        </w:rPr>
      </w:pPr>
      <w:r>
        <w:rPr>
          <w:rFonts w:hint="eastAsia"/>
          <w:lang w:val="en-US" w:eastAsia="zh-CN"/>
        </w:rPr>
        <w:t>二、根据项目询价函、项目情况及贵单位要求，我司具体报价如下：</w:t>
      </w:r>
    </w:p>
    <w:tbl>
      <w:tblPr>
        <w:tblStyle w:val="15"/>
        <w:tblW w:w="50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7"/>
        <w:gridCol w:w="979"/>
        <w:gridCol w:w="3506"/>
        <w:gridCol w:w="417"/>
        <w:gridCol w:w="614"/>
        <w:gridCol w:w="659"/>
        <w:gridCol w:w="718"/>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276" w:type="pct"/>
            <w:shd w:val="clear" w:color="auto" w:fill="D7D7D7" w:themeFill="background1" w:themeFillShade="D8"/>
            <w:vAlign w:val="center"/>
          </w:tcPr>
          <w:p>
            <w:pPr>
              <w:bidi w:val="0"/>
              <w:spacing w:line="240" w:lineRule="auto"/>
              <w:jc w:val="center"/>
              <w:rPr>
                <w:rFonts w:hint="eastAsia"/>
              </w:rPr>
            </w:pPr>
            <w:r>
              <w:rPr>
                <w:rFonts w:hint="eastAsia"/>
              </w:rPr>
              <w:t>序号</w:t>
            </w:r>
          </w:p>
        </w:tc>
        <w:tc>
          <w:tcPr>
            <w:tcW w:w="545"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项目</w:t>
            </w:r>
          </w:p>
        </w:tc>
        <w:tc>
          <w:tcPr>
            <w:tcW w:w="1952"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具体实施项目</w:t>
            </w:r>
          </w:p>
        </w:tc>
        <w:tc>
          <w:tcPr>
            <w:tcW w:w="232"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单位</w:t>
            </w:r>
          </w:p>
        </w:tc>
        <w:tc>
          <w:tcPr>
            <w:tcW w:w="342"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数量</w:t>
            </w:r>
          </w:p>
        </w:tc>
        <w:tc>
          <w:tcPr>
            <w:tcW w:w="367"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单价（元）</w:t>
            </w:r>
          </w:p>
        </w:tc>
        <w:tc>
          <w:tcPr>
            <w:tcW w:w="399"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合价（元）</w:t>
            </w:r>
          </w:p>
        </w:tc>
        <w:tc>
          <w:tcPr>
            <w:tcW w:w="884" w:type="pct"/>
            <w:shd w:val="clear" w:color="auto" w:fill="D7D7D7" w:themeFill="background1" w:themeFillShade="D8"/>
            <w:tcMar>
              <w:top w:w="15" w:type="dxa"/>
              <w:left w:w="15" w:type="dxa"/>
              <w:right w:w="15" w:type="dxa"/>
            </w:tcMar>
            <w:vAlign w:val="center"/>
          </w:tcPr>
          <w:p>
            <w:pPr>
              <w:bidi w:val="0"/>
              <w:spacing w:line="240" w:lineRule="auto"/>
              <w:jc w:val="center"/>
              <w:rPr>
                <w:rFonts w:hint="eastAsia"/>
              </w:rP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76"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lang w:val="en-US" w:eastAsia="zh-CN"/>
              </w:rPr>
              <w:t>1</w:t>
            </w:r>
          </w:p>
        </w:tc>
        <w:tc>
          <w:tcPr>
            <w:tcW w:w="545" w:type="pct"/>
            <w:tcMar>
              <w:top w:w="15" w:type="dxa"/>
              <w:left w:w="15" w:type="dxa"/>
              <w:right w:w="15" w:type="dxa"/>
            </w:tcMar>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lang w:val="en-US" w:eastAsia="zh-CN"/>
              </w:rPr>
              <w:t>技术支持</w:t>
            </w:r>
          </w:p>
        </w:tc>
        <w:tc>
          <w:tcPr>
            <w:tcW w:w="1952" w:type="pct"/>
            <w:tcMar>
              <w:top w:w="15" w:type="dxa"/>
              <w:left w:w="15" w:type="dxa"/>
              <w:right w:w="15" w:type="dxa"/>
            </w:tcMar>
            <w:vAlign w:val="center"/>
          </w:tcPr>
          <w:p>
            <w:pPr>
              <w:bidi w:val="0"/>
              <w:spacing w:line="240" w:lineRule="auto"/>
              <w:jc w:val="both"/>
              <w:rPr>
                <w:rFonts w:hint="default"/>
                <w:lang w:val="en-US" w:eastAsia="zh-CN"/>
              </w:rPr>
            </w:pPr>
            <w:r>
              <w:rPr>
                <w:rFonts w:hint="eastAsia"/>
                <w:lang w:val="en-US" w:eastAsia="zh-CN"/>
              </w:rPr>
              <w:t>编制市政排水设施运维单位存量排水管网及泵站运维日常监督和考核制度及实施细则，以及每季度对市政排水设施运维单位相关人员进行安全生产、排水管网养护维修等方面的进行培训。</w:t>
            </w:r>
          </w:p>
        </w:tc>
        <w:tc>
          <w:tcPr>
            <w:tcW w:w="232" w:type="pct"/>
            <w:tcMar>
              <w:top w:w="15" w:type="dxa"/>
              <w:left w:w="15" w:type="dxa"/>
              <w:right w:w="15" w:type="dxa"/>
            </w:tcMar>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rPr>
              <w:t>项</w:t>
            </w:r>
          </w:p>
        </w:tc>
        <w:tc>
          <w:tcPr>
            <w:tcW w:w="342" w:type="pct"/>
            <w:tcMar>
              <w:top w:w="15" w:type="dxa"/>
              <w:left w:w="15" w:type="dxa"/>
              <w:right w:w="15" w:type="dxa"/>
            </w:tcMar>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lang w:val="en-US" w:eastAsia="zh-CN"/>
              </w:rPr>
              <w:t>1</w:t>
            </w:r>
          </w:p>
        </w:tc>
        <w:tc>
          <w:tcPr>
            <w:tcW w:w="367" w:type="pct"/>
            <w:tcMar>
              <w:top w:w="15" w:type="dxa"/>
              <w:left w:w="15" w:type="dxa"/>
              <w:right w:w="15" w:type="dxa"/>
            </w:tcMar>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p>
        </w:tc>
        <w:tc>
          <w:tcPr>
            <w:tcW w:w="399" w:type="pct"/>
            <w:tcBorders>
              <w:top w:val="nil"/>
              <w:left w:val="nil"/>
              <w:right w:val="single" w:color="auto" w:sz="8" w:space="0"/>
            </w:tcBorders>
            <w:tcMar>
              <w:top w:w="15" w:type="dxa"/>
              <w:left w:w="15" w:type="dxa"/>
              <w:right w:w="15" w:type="dxa"/>
            </w:tcMar>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p>
        </w:tc>
        <w:tc>
          <w:tcPr>
            <w:tcW w:w="884" w:type="pct"/>
            <w:tcMar>
              <w:top w:w="15" w:type="dxa"/>
              <w:left w:w="15" w:type="dxa"/>
              <w:right w:w="15" w:type="dxa"/>
            </w:tcMar>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76" w:type="pct"/>
            <w:vAlign w:val="center"/>
          </w:tcPr>
          <w:p>
            <w:pPr>
              <w:bidi w:val="0"/>
              <w:spacing w:line="240" w:lineRule="auto"/>
              <w:jc w:val="center"/>
              <w:rPr>
                <w:rFonts w:hint="default"/>
                <w:lang w:val="en-US" w:eastAsia="zh-CN"/>
              </w:rPr>
            </w:pPr>
            <w:r>
              <w:rPr>
                <w:rFonts w:hint="eastAsia"/>
                <w:lang w:val="en-US" w:eastAsia="zh-CN"/>
              </w:rPr>
              <w:t>2</w:t>
            </w:r>
          </w:p>
        </w:tc>
        <w:tc>
          <w:tcPr>
            <w:tcW w:w="545" w:type="pct"/>
            <w:tcMar>
              <w:top w:w="15" w:type="dxa"/>
              <w:left w:w="15" w:type="dxa"/>
              <w:right w:w="15" w:type="dxa"/>
            </w:tcMar>
            <w:vAlign w:val="center"/>
          </w:tcPr>
          <w:p>
            <w:pPr>
              <w:bidi w:val="0"/>
              <w:spacing w:line="240" w:lineRule="auto"/>
              <w:jc w:val="center"/>
              <w:rPr>
                <w:rFonts w:hint="eastAsia"/>
                <w:lang w:val="en-US" w:eastAsia="zh-CN"/>
              </w:rPr>
            </w:pPr>
            <w:r>
              <w:rPr>
                <w:rFonts w:hint="eastAsia"/>
                <w:lang w:val="en-US" w:eastAsia="zh-CN"/>
              </w:rPr>
              <w:t>技术支持</w:t>
            </w:r>
          </w:p>
        </w:tc>
        <w:tc>
          <w:tcPr>
            <w:tcW w:w="1952" w:type="pct"/>
            <w:tcMar>
              <w:top w:w="15" w:type="dxa"/>
              <w:left w:w="15" w:type="dxa"/>
              <w:right w:w="15" w:type="dxa"/>
            </w:tcMar>
            <w:vAlign w:val="center"/>
          </w:tcPr>
          <w:p>
            <w:pPr>
              <w:bidi w:val="0"/>
              <w:spacing w:line="240" w:lineRule="auto"/>
              <w:rPr>
                <w:rFonts w:hint="eastAsia"/>
                <w:lang w:val="en-US" w:eastAsia="zh-CN"/>
              </w:rPr>
            </w:pPr>
            <w:r>
              <w:rPr>
                <w:rFonts w:hint="eastAsia"/>
                <w:lang w:val="en-US" w:eastAsia="zh-CN"/>
              </w:rPr>
              <w:t>在服务期内，协助区住建局对市政排水设施运维单位提交的所有排水管网大中修方案的必要性和技术手段可行性进行审核，并给出审核意见</w:t>
            </w:r>
          </w:p>
        </w:tc>
        <w:tc>
          <w:tcPr>
            <w:tcW w:w="232" w:type="pct"/>
            <w:tcMar>
              <w:top w:w="15" w:type="dxa"/>
              <w:left w:w="15" w:type="dxa"/>
              <w:right w:w="15" w:type="dxa"/>
            </w:tcMar>
            <w:vAlign w:val="center"/>
          </w:tcPr>
          <w:p>
            <w:pPr>
              <w:bidi w:val="0"/>
              <w:spacing w:line="240" w:lineRule="auto"/>
              <w:jc w:val="center"/>
              <w:rPr>
                <w:rFonts w:hint="eastAsia"/>
                <w:lang w:val="en-US" w:eastAsia="zh-CN"/>
              </w:rPr>
            </w:pPr>
            <w:r>
              <w:rPr>
                <w:rFonts w:hint="eastAsia"/>
                <w:lang w:val="en-US" w:eastAsia="zh-CN"/>
              </w:rPr>
              <w:t>项</w:t>
            </w:r>
          </w:p>
        </w:tc>
        <w:tc>
          <w:tcPr>
            <w:tcW w:w="342" w:type="pct"/>
            <w:tcMar>
              <w:top w:w="15" w:type="dxa"/>
              <w:left w:w="15" w:type="dxa"/>
              <w:right w:w="15" w:type="dxa"/>
            </w:tcMar>
            <w:vAlign w:val="center"/>
          </w:tcPr>
          <w:p>
            <w:pPr>
              <w:bidi w:val="0"/>
              <w:spacing w:line="240" w:lineRule="auto"/>
              <w:jc w:val="center"/>
              <w:rPr>
                <w:rFonts w:hint="eastAsia" w:eastAsia="宋体"/>
                <w:lang w:val="en-US" w:eastAsia="zh-CN"/>
              </w:rPr>
            </w:pPr>
            <w:r>
              <w:rPr>
                <w:rFonts w:hint="eastAsia"/>
                <w:lang w:val="en-US" w:eastAsia="zh-CN"/>
              </w:rPr>
              <w:t>1</w:t>
            </w:r>
          </w:p>
        </w:tc>
        <w:tc>
          <w:tcPr>
            <w:tcW w:w="367" w:type="pct"/>
            <w:tcMar>
              <w:top w:w="15" w:type="dxa"/>
              <w:left w:w="15" w:type="dxa"/>
              <w:right w:w="15" w:type="dxa"/>
            </w:tcMar>
            <w:vAlign w:val="center"/>
          </w:tcPr>
          <w:p>
            <w:pPr>
              <w:bidi w:val="0"/>
              <w:spacing w:line="240" w:lineRule="auto"/>
              <w:jc w:val="center"/>
              <w:rPr>
                <w:rFonts w:hint="default"/>
                <w:lang w:val="en-US" w:eastAsia="zh-CN"/>
              </w:rPr>
            </w:pPr>
          </w:p>
        </w:tc>
        <w:tc>
          <w:tcPr>
            <w:tcW w:w="399" w:type="pct"/>
            <w:tcBorders>
              <w:top w:val="nil"/>
              <w:left w:val="nil"/>
              <w:right w:val="single" w:color="auto" w:sz="8" w:space="0"/>
            </w:tcBorders>
            <w:tcMar>
              <w:top w:w="15" w:type="dxa"/>
              <w:left w:w="15" w:type="dxa"/>
              <w:right w:w="15" w:type="dxa"/>
            </w:tcMar>
            <w:vAlign w:val="center"/>
          </w:tcPr>
          <w:p>
            <w:pPr>
              <w:bidi w:val="0"/>
              <w:spacing w:line="240" w:lineRule="auto"/>
              <w:jc w:val="center"/>
              <w:rPr>
                <w:rFonts w:hint="default"/>
                <w:lang w:val="en-US" w:eastAsia="zh-CN"/>
              </w:rPr>
            </w:pPr>
          </w:p>
        </w:tc>
        <w:tc>
          <w:tcPr>
            <w:tcW w:w="884" w:type="pct"/>
            <w:tcMar>
              <w:top w:w="15" w:type="dxa"/>
              <w:left w:w="15" w:type="dxa"/>
              <w:right w:w="15" w:type="dxa"/>
            </w:tcMar>
            <w:vAlign w:val="center"/>
          </w:tcPr>
          <w:p>
            <w:pPr>
              <w:bidi w:val="0"/>
              <w:spacing w:line="240" w:lineRule="auto"/>
              <w:jc w:val="center"/>
              <w:rPr>
                <w:rFonts w:hint="eastAsia"/>
                <w:lang w:val="en-US" w:eastAsia="zh-CN"/>
              </w:rPr>
            </w:pPr>
            <w:r>
              <w:rPr>
                <w:rFonts w:hint="eastAsia" w:cs="Times New Roman"/>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76" w:type="pct"/>
            <w:vAlign w:val="center"/>
          </w:tcPr>
          <w:p>
            <w:pPr>
              <w:bidi w:val="0"/>
              <w:spacing w:line="240" w:lineRule="auto"/>
              <w:jc w:val="center"/>
              <w:rPr>
                <w:rFonts w:hint="eastAsia" w:eastAsia="宋体"/>
                <w:lang w:eastAsia="zh-CN"/>
              </w:rPr>
            </w:pPr>
            <w:r>
              <w:rPr>
                <w:rFonts w:hint="eastAsia"/>
                <w:lang w:val="en-US" w:eastAsia="zh-CN"/>
              </w:rPr>
              <w:t>3</w:t>
            </w:r>
          </w:p>
        </w:tc>
        <w:tc>
          <w:tcPr>
            <w:tcW w:w="545" w:type="pct"/>
            <w:tcMar>
              <w:top w:w="15" w:type="dxa"/>
              <w:left w:w="15" w:type="dxa"/>
              <w:right w:w="15" w:type="dxa"/>
            </w:tcMar>
            <w:vAlign w:val="center"/>
          </w:tcPr>
          <w:p>
            <w:pPr>
              <w:bidi w:val="0"/>
              <w:spacing w:line="240" w:lineRule="auto"/>
              <w:jc w:val="center"/>
              <w:rPr>
                <w:rFonts w:hint="eastAsia"/>
              </w:rPr>
            </w:pPr>
            <w:r>
              <w:rPr>
                <w:rFonts w:hint="eastAsia"/>
                <w:lang w:val="en-US" w:eastAsia="zh-CN"/>
              </w:rPr>
              <w:t>排水管网、雨污水泵站</w:t>
            </w:r>
            <w:r>
              <w:rPr>
                <w:rFonts w:hint="eastAsia"/>
              </w:rPr>
              <w:t>月度考核</w:t>
            </w:r>
          </w:p>
        </w:tc>
        <w:tc>
          <w:tcPr>
            <w:tcW w:w="1952" w:type="pct"/>
            <w:tcMar>
              <w:top w:w="15" w:type="dxa"/>
              <w:left w:w="15" w:type="dxa"/>
              <w:right w:w="15" w:type="dxa"/>
            </w:tcMar>
            <w:vAlign w:val="center"/>
          </w:tcPr>
          <w:p>
            <w:pPr>
              <w:bidi w:val="0"/>
              <w:spacing w:line="240" w:lineRule="auto"/>
              <w:jc w:val="both"/>
              <w:rPr>
                <w:rFonts w:hint="default" w:eastAsia="宋体"/>
                <w:lang w:val="en-US" w:eastAsia="zh-CN"/>
              </w:rPr>
            </w:pPr>
            <w:r>
              <w:rPr>
                <w:rFonts w:hint="eastAsia"/>
                <w:lang w:val="en-US" w:eastAsia="zh-CN"/>
              </w:rPr>
              <w:t>1.每月由1名工程师、1-2名技术员驻点对惠州仲恺水务投资有限公司管辖范围内</w:t>
            </w:r>
            <w:r>
              <w:rPr>
                <w:rFonts w:hint="eastAsia"/>
              </w:rPr>
              <w:t>排水管网和泵站</w:t>
            </w:r>
            <w:r>
              <w:rPr>
                <w:rFonts w:hint="eastAsia"/>
                <w:lang w:val="en-US" w:eastAsia="zh-CN"/>
              </w:rPr>
              <w:t>的</w:t>
            </w:r>
            <w:r>
              <w:rPr>
                <w:rFonts w:hint="eastAsia"/>
              </w:rPr>
              <w:t>施工现场、</w:t>
            </w:r>
            <w:r>
              <w:rPr>
                <w:rFonts w:hint="eastAsia"/>
                <w:lang w:val="en-US" w:eastAsia="zh-CN"/>
              </w:rPr>
              <w:t>制度、台账</w:t>
            </w:r>
            <w:r>
              <w:rPr>
                <w:rFonts w:hint="eastAsia"/>
              </w:rPr>
              <w:t>资料及其他应急工作</w:t>
            </w:r>
            <w:r>
              <w:rPr>
                <w:rFonts w:hint="eastAsia"/>
                <w:lang w:val="en-US" w:eastAsia="zh-CN"/>
              </w:rPr>
              <w:t>进行监督检查</w:t>
            </w:r>
          </w:p>
        </w:tc>
        <w:tc>
          <w:tcPr>
            <w:tcW w:w="232" w:type="pct"/>
            <w:tcMar>
              <w:top w:w="15" w:type="dxa"/>
              <w:left w:w="15" w:type="dxa"/>
              <w:right w:w="15" w:type="dxa"/>
            </w:tcMar>
            <w:vAlign w:val="center"/>
          </w:tcPr>
          <w:p>
            <w:pPr>
              <w:bidi w:val="0"/>
              <w:spacing w:line="240" w:lineRule="auto"/>
              <w:jc w:val="center"/>
              <w:rPr>
                <w:rFonts w:hint="default" w:eastAsia="宋体"/>
                <w:lang w:val="en-US" w:eastAsia="zh-CN"/>
              </w:rPr>
            </w:pPr>
            <w:r>
              <w:rPr>
                <w:rFonts w:hint="eastAsia"/>
                <w:lang w:val="en-US" w:eastAsia="zh-CN"/>
              </w:rPr>
              <w:t>月</w:t>
            </w:r>
          </w:p>
        </w:tc>
        <w:tc>
          <w:tcPr>
            <w:tcW w:w="342" w:type="pct"/>
            <w:tcMar>
              <w:top w:w="15" w:type="dxa"/>
              <w:left w:w="15" w:type="dxa"/>
              <w:right w:w="15" w:type="dxa"/>
            </w:tcMar>
            <w:vAlign w:val="center"/>
          </w:tcPr>
          <w:p>
            <w:pPr>
              <w:bidi w:val="0"/>
              <w:spacing w:line="240" w:lineRule="auto"/>
              <w:jc w:val="center"/>
              <w:rPr>
                <w:rFonts w:hint="eastAsia"/>
              </w:rPr>
            </w:pPr>
            <w:r>
              <w:rPr>
                <w:rFonts w:hint="eastAsia"/>
              </w:rPr>
              <w:t>12</w:t>
            </w:r>
          </w:p>
        </w:tc>
        <w:tc>
          <w:tcPr>
            <w:tcW w:w="367" w:type="pct"/>
            <w:tcMar>
              <w:top w:w="15" w:type="dxa"/>
              <w:left w:w="15" w:type="dxa"/>
              <w:right w:w="15" w:type="dxa"/>
            </w:tcMar>
            <w:vAlign w:val="center"/>
          </w:tcPr>
          <w:p>
            <w:pPr>
              <w:bidi w:val="0"/>
              <w:spacing w:line="240" w:lineRule="auto"/>
              <w:jc w:val="center"/>
              <w:rPr>
                <w:rFonts w:hint="default"/>
                <w:lang w:val="en-US" w:eastAsia="zh-CN"/>
              </w:rPr>
            </w:pPr>
          </w:p>
        </w:tc>
        <w:tc>
          <w:tcPr>
            <w:tcW w:w="399" w:type="pct"/>
            <w:tcBorders>
              <w:top w:val="nil"/>
              <w:left w:val="nil"/>
              <w:right w:val="single" w:color="auto" w:sz="8" w:space="0"/>
            </w:tcBorders>
            <w:tcMar>
              <w:top w:w="15" w:type="dxa"/>
              <w:left w:w="15" w:type="dxa"/>
              <w:right w:w="15" w:type="dxa"/>
            </w:tcMar>
            <w:vAlign w:val="center"/>
          </w:tcPr>
          <w:p>
            <w:pPr>
              <w:bidi w:val="0"/>
              <w:spacing w:line="240" w:lineRule="auto"/>
              <w:jc w:val="center"/>
              <w:rPr>
                <w:rFonts w:hint="default"/>
                <w:lang w:val="en-US" w:eastAsia="zh-CN"/>
              </w:rPr>
            </w:pPr>
          </w:p>
        </w:tc>
        <w:tc>
          <w:tcPr>
            <w:tcW w:w="884" w:type="pct"/>
            <w:tcMar>
              <w:top w:w="15" w:type="dxa"/>
              <w:left w:w="15" w:type="dxa"/>
              <w:right w:w="15" w:type="dxa"/>
            </w:tcMar>
            <w:vAlign w:val="center"/>
          </w:tcPr>
          <w:p>
            <w:pPr>
              <w:bidi w:val="0"/>
              <w:spacing w:line="240" w:lineRule="auto"/>
              <w:jc w:val="both"/>
              <w:rPr>
                <w:rFonts w:hint="default"/>
                <w:lang w:val="en-US" w:eastAsia="zh-CN"/>
              </w:rPr>
            </w:pPr>
            <w:r>
              <w:rPr>
                <w:rFonts w:hint="eastAsia"/>
                <w:lang w:val="en-US" w:eastAsia="zh-CN"/>
              </w:rPr>
              <w:t>1.1</w:t>
            </w:r>
            <w:r>
              <w:rPr>
                <w:rFonts w:hint="default"/>
                <w:lang w:val="en-US" w:eastAsia="zh-CN"/>
              </w:rPr>
              <w:t>名技术员和</w:t>
            </w:r>
            <w:r>
              <w:rPr>
                <w:rFonts w:hint="eastAsia"/>
                <w:lang w:val="en-US" w:eastAsia="zh-CN"/>
              </w:rPr>
              <w:t>1</w:t>
            </w:r>
            <w:r>
              <w:rPr>
                <w:rFonts w:hint="default"/>
                <w:lang w:val="en-US" w:eastAsia="zh-CN"/>
              </w:rPr>
              <w:t>名中级工程师常驻惠州仲恺高新技术产业开发区住房和城乡规划建设局</w:t>
            </w:r>
            <w:r>
              <w:rPr>
                <w:rFonts w:hint="eastAsia"/>
                <w:lang w:val="en-US" w:eastAsia="zh-CN"/>
              </w:rPr>
              <w:t>；1名</w:t>
            </w:r>
            <w:r>
              <w:rPr>
                <w:rFonts w:hint="default"/>
                <w:lang w:val="en-US" w:eastAsia="zh-CN"/>
              </w:rPr>
              <w:t>技术员</w:t>
            </w:r>
            <w:r>
              <w:rPr>
                <w:rFonts w:hint="eastAsia"/>
                <w:lang w:val="en-US" w:eastAsia="zh-CN"/>
              </w:rPr>
              <w:t>机动驻点</w:t>
            </w:r>
            <w:r>
              <w:rPr>
                <w:rFonts w:hint="default"/>
                <w:lang w:val="en-US" w:eastAsia="zh-CN"/>
              </w:rPr>
              <w:t>惠州仲恺高新技术产业开发区住房和城乡规划建设局</w:t>
            </w:r>
            <w:r>
              <w:rPr>
                <w:rFonts w:hint="eastAsia"/>
                <w:lang w:val="en-US" w:eastAsia="zh-CN"/>
              </w:rPr>
              <w:t>；每月出勤24个工日</w:t>
            </w:r>
          </w:p>
          <w:p>
            <w:pPr>
              <w:numPr>
                <w:ilvl w:val="0"/>
                <w:numId w:val="1"/>
              </w:numPr>
              <w:bidi w:val="0"/>
              <w:spacing w:line="240" w:lineRule="auto"/>
              <w:jc w:val="both"/>
              <w:rPr>
                <w:rFonts w:hint="eastAsia"/>
                <w:lang w:val="en-US" w:eastAsia="zh-CN"/>
              </w:rPr>
            </w:pPr>
            <w:r>
              <w:rPr>
                <w:rFonts w:hint="eastAsia"/>
                <w:lang w:val="en-US" w:eastAsia="zh-CN"/>
              </w:rPr>
              <w:t>不含排水管网抽查检测费用</w:t>
            </w:r>
          </w:p>
          <w:p>
            <w:pPr>
              <w:pStyle w:val="2"/>
              <w:numPr>
                <w:ilvl w:val="0"/>
                <w:numId w:val="1"/>
              </w:numPr>
              <w:rPr>
                <w:rFonts w:hint="default"/>
                <w:lang w:val="en-US" w:eastAsia="zh-CN"/>
              </w:rPr>
            </w:pPr>
            <w:r>
              <w:rPr>
                <w:rFonts w:hint="eastAsia"/>
                <w:lang w:val="en-US" w:eastAsia="zh-CN"/>
              </w:rPr>
              <w:t>自备工作用车</w:t>
            </w:r>
          </w:p>
          <w:p>
            <w:pPr>
              <w:pStyle w:val="3"/>
              <w:rPr>
                <w:rFonts w:hint="default"/>
                <w:lang w:val="en-US" w:eastAsia="zh-CN"/>
              </w:rPr>
            </w:pPr>
            <w:r>
              <w:rPr>
                <w:rFonts w:hint="eastAsia" w:ascii="Times New Roman" w:hAnsi="Times New Roman" w:eastAsia="宋体" w:cs="Times New Roman"/>
                <w:color w:val="auto"/>
                <w:kern w:val="2"/>
                <w:sz w:val="24"/>
                <w:szCs w:val="24"/>
                <w:lang w:val="en-US" w:eastAsia="zh-CN" w:bidi="ar-SA"/>
              </w:rPr>
              <w:t>4.含人员工资、社保及福利费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1" w:hRule="atLeast"/>
          <w:jc w:val="center"/>
        </w:trPr>
        <w:tc>
          <w:tcPr>
            <w:tcW w:w="276"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bookmarkStart w:id="0" w:name="OLE_LINK1" w:colFirst="4" w:colLast="5"/>
            <w:r>
              <w:rPr>
                <w:rFonts w:hint="eastAsia"/>
                <w:lang w:val="en-US" w:eastAsia="zh-CN"/>
              </w:rPr>
              <w:t>4</w:t>
            </w:r>
          </w:p>
        </w:tc>
        <w:tc>
          <w:tcPr>
            <w:tcW w:w="545"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rPr>
              <w:t>公共排水设施日常监督检查</w:t>
            </w:r>
          </w:p>
        </w:tc>
        <w:tc>
          <w:tcPr>
            <w:tcW w:w="1952" w:type="pct"/>
            <w:vAlign w:val="center"/>
          </w:tcPr>
          <w:p>
            <w:pPr>
              <w:bidi w:val="0"/>
              <w:spacing w:line="240" w:lineRule="auto"/>
              <w:jc w:val="both"/>
              <w:rPr>
                <w:rFonts w:hint="eastAsia"/>
                <w:lang w:val="en-US" w:eastAsia="zh-CN"/>
              </w:rPr>
            </w:pPr>
            <w:r>
              <w:rPr>
                <w:rFonts w:hint="eastAsia"/>
                <w:lang w:val="en-US" w:eastAsia="zh-CN"/>
              </w:rPr>
              <w:t>1.采用人工探查、QV检测（必要时进行CCTV检测）完成每月排水管网抽检任务</w:t>
            </w:r>
          </w:p>
          <w:p>
            <w:pPr>
              <w:bidi w:val="0"/>
              <w:spacing w:line="240" w:lineRule="auto"/>
              <w:jc w:val="both"/>
              <w:rPr>
                <w:rFonts w:hint="eastAsia" w:ascii="Times New Roman" w:hAnsi="Times New Roman" w:eastAsia="宋体" w:cs="Times New Roman"/>
                <w:kern w:val="2"/>
                <w:sz w:val="24"/>
                <w:szCs w:val="24"/>
                <w:lang w:val="en-US" w:eastAsia="zh-CN" w:bidi="ar-SA"/>
              </w:rPr>
            </w:pPr>
            <w:r>
              <w:rPr>
                <w:rFonts w:hint="eastAsia"/>
                <w:lang w:val="en-US" w:eastAsia="zh-CN"/>
              </w:rPr>
              <w:t>2.编制排水管网抽查检测评估报告</w:t>
            </w:r>
          </w:p>
        </w:tc>
        <w:tc>
          <w:tcPr>
            <w:tcW w:w="232"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rPr>
              <w:t>米</w:t>
            </w:r>
          </w:p>
        </w:tc>
        <w:tc>
          <w:tcPr>
            <w:tcW w:w="342" w:type="pct"/>
            <w:tcBorders>
              <w:bottom w:val="single" w:color="auto" w:sz="4" w:space="0"/>
            </w:tcBorders>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r>
              <w:rPr>
                <w:rFonts w:hint="eastAsia"/>
                <w:lang w:val="en-US" w:eastAsia="zh-CN"/>
              </w:rPr>
              <w:t>373200</w:t>
            </w:r>
          </w:p>
        </w:tc>
        <w:tc>
          <w:tcPr>
            <w:tcW w:w="367" w:type="pct"/>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p>
        </w:tc>
        <w:tc>
          <w:tcPr>
            <w:tcW w:w="399" w:type="pct"/>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p>
        </w:tc>
        <w:tc>
          <w:tcPr>
            <w:tcW w:w="884"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供应商自备检测工具开展日常监督检查工作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1" w:hRule="atLeast"/>
          <w:jc w:val="center"/>
        </w:trPr>
        <w:tc>
          <w:tcPr>
            <w:tcW w:w="276"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p>
        </w:tc>
        <w:tc>
          <w:tcPr>
            <w:tcW w:w="545"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rPr>
              <w:t>报告文本费</w:t>
            </w:r>
          </w:p>
        </w:tc>
        <w:tc>
          <w:tcPr>
            <w:tcW w:w="1952" w:type="pct"/>
            <w:vAlign w:val="center"/>
          </w:tcPr>
          <w:p>
            <w:pPr>
              <w:bidi w:val="0"/>
              <w:spacing w:line="240" w:lineRule="auto"/>
              <w:jc w:val="both"/>
              <w:rPr>
                <w:rFonts w:hint="default" w:ascii="Times New Roman" w:hAnsi="Times New Roman" w:eastAsia="宋体" w:cs="Times New Roman"/>
                <w:kern w:val="2"/>
                <w:sz w:val="24"/>
                <w:szCs w:val="24"/>
                <w:lang w:val="en-US" w:eastAsia="zh-CN" w:bidi="ar-SA"/>
              </w:rPr>
            </w:pPr>
            <w:r>
              <w:rPr>
                <w:rFonts w:hint="eastAsia"/>
                <w:lang w:val="en-US" w:eastAsia="zh-CN"/>
              </w:rPr>
              <w:t>每月提交本项目所需的</w:t>
            </w:r>
            <w:r>
              <w:rPr>
                <w:rFonts w:hint="eastAsia"/>
              </w:rPr>
              <w:t>考核报告、总结报告等</w:t>
            </w:r>
          </w:p>
        </w:tc>
        <w:tc>
          <w:tcPr>
            <w:tcW w:w="232" w:type="pct"/>
            <w:vAlign w:val="center"/>
          </w:tcPr>
          <w:p>
            <w:pPr>
              <w:bidi w:val="0"/>
              <w:spacing w:line="240" w:lineRule="auto"/>
              <w:jc w:val="center"/>
              <w:rPr>
                <w:rFonts w:hint="eastAsia" w:ascii="Times New Roman" w:hAnsi="Times New Roman" w:eastAsia="宋体" w:cs="Times New Roman"/>
                <w:kern w:val="2"/>
                <w:sz w:val="24"/>
                <w:szCs w:val="24"/>
                <w:lang w:val="en-US" w:eastAsia="zh-CN" w:bidi="ar-SA"/>
              </w:rPr>
            </w:pPr>
            <w:r>
              <w:rPr>
                <w:rFonts w:hint="eastAsia"/>
              </w:rPr>
              <w:t>月</w:t>
            </w:r>
          </w:p>
        </w:tc>
        <w:tc>
          <w:tcPr>
            <w:tcW w:w="342" w:type="pct"/>
            <w:tcBorders>
              <w:bottom w:val="single" w:color="auto" w:sz="4" w:space="0"/>
            </w:tcBorders>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r>
              <w:rPr>
                <w:rFonts w:hint="eastAsia"/>
              </w:rPr>
              <w:t>12</w:t>
            </w:r>
          </w:p>
        </w:tc>
        <w:tc>
          <w:tcPr>
            <w:tcW w:w="367" w:type="pct"/>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p>
        </w:tc>
        <w:tc>
          <w:tcPr>
            <w:tcW w:w="399" w:type="pct"/>
            <w:vAlign w:val="center"/>
          </w:tcPr>
          <w:p>
            <w:pPr>
              <w:bidi w:val="0"/>
              <w:spacing w:line="240" w:lineRule="auto"/>
              <w:jc w:val="center"/>
              <w:rPr>
                <w:rFonts w:hint="default" w:ascii="Times New Roman" w:hAnsi="Times New Roman" w:eastAsia="宋体" w:cs="Times New Roman"/>
                <w:kern w:val="2"/>
                <w:sz w:val="24"/>
                <w:szCs w:val="24"/>
                <w:lang w:val="en-US" w:eastAsia="zh-CN" w:bidi="ar-SA"/>
              </w:rPr>
            </w:pPr>
          </w:p>
        </w:tc>
        <w:tc>
          <w:tcPr>
            <w:tcW w:w="884" w:type="pct"/>
            <w:vAlign w:val="center"/>
          </w:tcPr>
          <w:p>
            <w:pPr>
              <w:bidi w:val="0"/>
              <w:spacing w:line="240" w:lineRule="auto"/>
              <w:jc w:val="center"/>
              <w:rPr>
                <w:rFonts w:hint="eastAsia"/>
                <w:lang w:val="en-US" w:eastAsia="zh-CN"/>
              </w:rPr>
            </w:pPr>
            <w:r>
              <w:rPr>
                <w:rFonts w:hint="eastAsia"/>
                <w:lang w:val="en-US" w:eastAsia="zh-CN"/>
              </w:rPr>
              <w:t>1.暂按3500页彩色打印、装订等测算费用</w:t>
            </w:r>
          </w:p>
          <w:p>
            <w:pPr>
              <w:bidi w:val="0"/>
              <w:spacing w:line="240" w:lineRule="auto"/>
              <w:jc w:val="center"/>
              <w:rPr>
                <w:rFonts w:hint="default" w:ascii="Times New Roman" w:hAnsi="Times New Roman" w:eastAsia="宋体" w:cs="Times New Roman"/>
                <w:kern w:val="2"/>
                <w:sz w:val="24"/>
                <w:szCs w:val="24"/>
                <w:lang w:val="en-US" w:eastAsia="zh-CN" w:bidi="ar-SA"/>
              </w:rPr>
            </w:pPr>
            <w:r>
              <w:rPr>
                <w:rFonts w:hint="eastAsia"/>
                <w:lang w:val="en-US" w:eastAsia="zh-CN"/>
              </w:rPr>
              <w:t>2.含税金</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15" w:type="pct"/>
            <w:gridSpan w:val="6"/>
            <w:vAlign w:val="center"/>
          </w:tcPr>
          <w:p>
            <w:pPr>
              <w:bidi w:val="0"/>
              <w:spacing w:line="240" w:lineRule="auto"/>
              <w:jc w:val="center"/>
              <w:rPr>
                <w:rFonts w:hint="eastAsia"/>
              </w:rPr>
            </w:pPr>
            <w:r>
              <w:rPr>
                <w:rFonts w:hint="eastAsia"/>
              </w:rPr>
              <w:t>合计（元）</w:t>
            </w:r>
          </w:p>
        </w:tc>
        <w:tc>
          <w:tcPr>
            <w:tcW w:w="399" w:type="pct"/>
            <w:vAlign w:val="center"/>
          </w:tcPr>
          <w:p>
            <w:pPr>
              <w:bidi w:val="0"/>
              <w:spacing w:line="240" w:lineRule="auto"/>
              <w:jc w:val="center"/>
              <w:rPr>
                <w:rFonts w:hint="default"/>
                <w:lang w:val="en-US" w:eastAsia="zh-CN"/>
              </w:rPr>
            </w:pPr>
          </w:p>
        </w:tc>
        <w:tc>
          <w:tcPr>
            <w:tcW w:w="884" w:type="pct"/>
            <w:vAlign w:val="center"/>
          </w:tcPr>
          <w:p>
            <w:pPr>
              <w:bidi w:val="0"/>
              <w:spacing w:line="240" w:lineRule="auto"/>
              <w:jc w:val="center"/>
              <w:rPr>
                <w:rFonts w:hint="default" w:eastAsia="宋体"/>
                <w:lang w:val="en-US" w:eastAsia="zh-CN"/>
              </w:rPr>
            </w:pPr>
            <w:r>
              <w:rPr>
                <w:rFonts w:hint="eastAsia"/>
                <w:lang w:eastAsia="zh-CN"/>
              </w:rPr>
              <w:t>一年总费用不超过</w:t>
            </w:r>
            <w:r>
              <w:rPr>
                <w:rFonts w:hint="eastAsia"/>
                <w:lang w:val="en-US" w:eastAsia="zh-CN"/>
              </w:rPr>
              <w:t>240万元</w:t>
            </w:r>
          </w:p>
        </w:tc>
      </w:tr>
    </w:tbl>
    <w:p>
      <w:pPr>
        <w:bidi w:val="0"/>
        <w:spacing w:line="240" w:lineRule="auto"/>
        <w:jc w:val="both"/>
        <w:rPr>
          <w:rFonts w:hint="eastAsia"/>
          <w:lang w:val="en-US" w:eastAsia="zh-CN"/>
        </w:rPr>
      </w:pPr>
      <w:r>
        <w:rPr>
          <w:rFonts w:hint="eastAsia"/>
          <w:lang w:val="en-US" w:eastAsia="zh-CN"/>
        </w:rPr>
        <w:t>（备注：本报价书双面打印）</w:t>
      </w:r>
    </w:p>
    <w:p>
      <w:pPr>
        <w:bidi w:val="0"/>
        <w:spacing w:line="240" w:lineRule="auto"/>
        <w:jc w:val="both"/>
        <w:rPr>
          <w:rFonts w:hint="default"/>
          <w:lang w:val="en-US" w:eastAsia="zh-CN"/>
        </w:rPr>
      </w:pPr>
      <w:r>
        <w:rPr>
          <w:rFonts w:hint="eastAsia"/>
          <w:lang w:val="en-US" w:eastAsia="zh-CN"/>
        </w:rPr>
        <w:t>联系人：                                      联系电话：</w:t>
      </w:r>
    </w:p>
    <w:p>
      <w:pPr>
        <w:bidi w:val="0"/>
        <w:spacing w:line="240" w:lineRule="auto"/>
        <w:jc w:val="right"/>
        <w:rPr>
          <w:rFonts w:hint="eastAsia"/>
          <w:lang w:val="en-US" w:eastAsia="zh-CN"/>
        </w:rPr>
      </w:pPr>
    </w:p>
    <w:p>
      <w:pPr>
        <w:bidi w:val="0"/>
        <w:spacing w:line="240" w:lineRule="auto"/>
        <w:jc w:val="right"/>
        <w:rPr>
          <w:rFonts w:hint="eastAsia"/>
          <w:lang w:val="en-US" w:eastAsia="zh-CN"/>
        </w:rPr>
      </w:pPr>
    </w:p>
    <w:p>
      <w:pPr>
        <w:bidi w:val="0"/>
        <w:spacing w:line="240" w:lineRule="auto"/>
        <w:jc w:val="center"/>
        <w:rPr>
          <w:rFonts w:hint="eastAsia"/>
          <w:lang w:val="en-US" w:eastAsia="zh-CN"/>
        </w:rPr>
      </w:pPr>
      <w:r>
        <w:rPr>
          <w:rFonts w:hint="eastAsia"/>
          <w:lang w:val="en-US" w:eastAsia="zh-CN"/>
        </w:rPr>
        <w:t xml:space="preserve">                                           报价单位名称(盖章):</w:t>
      </w:r>
    </w:p>
    <w:p>
      <w:pPr>
        <w:bidi w:val="0"/>
        <w:spacing w:line="240" w:lineRule="auto"/>
        <w:ind w:firstLine="3840" w:firstLineChars="1600"/>
        <w:jc w:val="both"/>
        <w:rPr>
          <w:rFonts w:hint="eastAsia"/>
          <w:lang w:val="en-US" w:eastAsia="zh-CN"/>
        </w:rPr>
      </w:pPr>
      <w:r>
        <w:rPr>
          <w:rFonts w:hint="eastAsia"/>
          <w:lang w:val="en-US" w:eastAsia="zh-CN"/>
        </w:rPr>
        <w:t>法定代表人或其委扦代理人(签字或盖章):</w:t>
      </w:r>
    </w:p>
    <w:p>
      <w:pPr>
        <w:pStyle w:val="2"/>
        <w:jc w:val="right"/>
        <w:rPr>
          <w:rFonts w:hint="eastAsia"/>
          <w:lang w:val="en-US" w:eastAsia="zh-CN"/>
        </w:rPr>
      </w:pPr>
    </w:p>
    <w:p>
      <w:pPr>
        <w:pStyle w:val="2"/>
        <w:jc w:val="right"/>
        <w:rPr>
          <w:rFonts w:hint="default"/>
          <w:lang w:val="en-US" w:eastAsia="zh-CN"/>
        </w:rPr>
      </w:pPr>
      <w:r>
        <w:rPr>
          <w:rFonts w:hint="eastAsia"/>
          <w:lang w:val="en-US" w:eastAsia="zh-CN"/>
        </w:rPr>
        <w:t>年    月    日</w:t>
      </w:r>
    </w:p>
    <w:sectPr>
      <w:headerReference r:id="rId5" w:type="default"/>
      <w:footerReference r:id="rId6" w:type="default"/>
      <w:pgSz w:w="11906" w:h="16838"/>
      <w:pgMar w:top="1440" w:right="1797" w:bottom="1440" w:left="1230" w:header="851" w:footer="850" w:gutter="0"/>
      <w:pgNumType w:fmt="decimal"/>
      <w:cols w:space="0" w:num="1"/>
      <w:rtlGutter w:val="0"/>
      <w:docGrid w:type="lines" w:linePitch="32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idowControl/>
      <w:tabs>
        <w:tab w:val="center" w:pos="4366"/>
        <w:tab w:val="clear" w:pos="4153"/>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B21B2"/>
    <w:multiLevelType w:val="singleLevel"/>
    <w:tmpl w:val="A7DB21B2"/>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iZDc1MTM3ZTg5ZmFjNmQ3ZWY4MGM0ODNlMGI0Y2EifQ=="/>
  </w:docVars>
  <w:rsids>
    <w:rsidRoot w:val="72861A37"/>
    <w:rsid w:val="023E675B"/>
    <w:rsid w:val="086D5C48"/>
    <w:rsid w:val="094E7A63"/>
    <w:rsid w:val="09A51A78"/>
    <w:rsid w:val="14ED36C7"/>
    <w:rsid w:val="152027E0"/>
    <w:rsid w:val="16991CEC"/>
    <w:rsid w:val="180C22C0"/>
    <w:rsid w:val="1A2C1341"/>
    <w:rsid w:val="1A2D4B0B"/>
    <w:rsid w:val="1A4C6E7F"/>
    <w:rsid w:val="1DE626B5"/>
    <w:rsid w:val="1FAA44EB"/>
    <w:rsid w:val="20646AC0"/>
    <w:rsid w:val="2161473C"/>
    <w:rsid w:val="223E75B0"/>
    <w:rsid w:val="229079C8"/>
    <w:rsid w:val="24B043E1"/>
    <w:rsid w:val="348054D0"/>
    <w:rsid w:val="35865F35"/>
    <w:rsid w:val="366276AB"/>
    <w:rsid w:val="36832E74"/>
    <w:rsid w:val="37FB379F"/>
    <w:rsid w:val="3BE86E9B"/>
    <w:rsid w:val="3D1D7648"/>
    <w:rsid w:val="436F3CA9"/>
    <w:rsid w:val="4A434E93"/>
    <w:rsid w:val="50A2195F"/>
    <w:rsid w:val="50AB174E"/>
    <w:rsid w:val="50D4711B"/>
    <w:rsid w:val="540C0231"/>
    <w:rsid w:val="56510B27"/>
    <w:rsid w:val="57004D88"/>
    <w:rsid w:val="59B817D3"/>
    <w:rsid w:val="661F5187"/>
    <w:rsid w:val="67FC336C"/>
    <w:rsid w:val="6F5F023C"/>
    <w:rsid w:val="70436E7B"/>
    <w:rsid w:val="72861A37"/>
    <w:rsid w:val="74801A60"/>
    <w:rsid w:val="765850E5"/>
    <w:rsid w:val="77C94460"/>
    <w:rsid w:val="7D976D8F"/>
    <w:rsid w:val="7EA25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pPr>
    <w:rPr>
      <w:rFonts w:ascii="Times New Roman" w:hAnsi="Times New Roman" w:eastAsia="宋体" w:cs="Times New Roman"/>
      <w:kern w:val="2"/>
      <w:sz w:val="24"/>
      <w:szCs w:val="24"/>
      <w:lang w:val="en-US" w:eastAsia="zh-CN" w:bidi="ar-SA"/>
    </w:rPr>
  </w:style>
  <w:style w:type="paragraph" w:styleId="4">
    <w:name w:val="heading 1"/>
    <w:basedOn w:val="1"/>
    <w:next w:val="1"/>
    <w:qFormat/>
    <w:uiPriority w:val="0"/>
    <w:pPr>
      <w:keepNext/>
      <w:keepLines/>
      <w:spacing w:beforeLines="0" w:beforeAutospacing="0" w:afterLines="0" w:afterAutospacing="0" w:line="360" w:lineRule="auto"/>
      <w:outlineLvl w:val="0"/>
    </w:pPr>
    <w:rPr>
      <w:rFonts w:ascii="Times New Roman" w:hAnsi="Times New Roman"/>
      <w:b/>
      <w:kern w:val="44"/>
      <w:sz w:val="30"/>
    </w:rPr>
  </w:style>
  <w:style w:type="paragraph" w:styleId="5">
    <w:name w:val="heading 2"/>
    <w:basedOn w:val="1"/>
    <w:next w:val="1"/>
    <w:unhideWhenUsed/>
    <w:qFormat/>
    <w:uiPriority w:val="0"/>
    <w:pPr>
      <w:keepNext/>
      <w:keepLines/>
      <w:spacing w:beforeLines="0" w:beforeAutospacing="0" w:afterLines="0" w:afterAutospacing="0" w:line="360" w:lineRule="auto"/>
      <w:outlineLvl w:val="1"/>
    </w:pPr>
    <w:rPr>
      <w:rFonts w:ascii="Times New Roman" w:hAnsi="Times New Roman" w:eastAsia="宋体"/>
      <w:b/>
      <w:sz w:val="28"/>
    </w:rPr>
  </w:style>
  <w:style w:type="paragraph" w:styleId="6">
    <w:name w:val="heading 3"/>
    <w:next w:val="1"/>
    <w:qFormat/>
    <w:uiPriority w:val="0"/>
    <w:pPr>
      <w:widowControl w:val="0"/>
      <w:tabs>
        <w:tab w:val="left" w:pos="851"/>
      </w:tabs>
      <w:adjustRightInd w:val="0"/>
      <w:spacing w:line="360" w:lineRule="auto"/>
      <w:ind w:left="0" w:firstLine="0"/>
      <w:jc w:val="both"/>
      <w:outlineLvl w:val="2"/>
    </w:pPr>
    <w:rPr>
      <w:rFonts w:ascii="Times New Roman" w:hAnsi="Times New Roman" w:eastAsia="宋体" w:cs="Times New Roman"/>
      <w:b/>
      <w:kern w:val="0"/>
      <w:sz w:val="24"/>
      <w:szCs w:val="20"/>
      <w:lang w:val="en-US" w:eastAsia="zh-CN" w:bidi="ar-SA"/>
    </w:rPr>
  </w:style>
  <w:style w:type="paragraph" w:styleId="7">
    <w:name w:val="heading 4"/>
    <w:basedOn w:val="1"/>
    <w:next w:val="1"/>
    <w:unhideWhenUsed/>
    <w:qFormat/>
    <w:uiPriority w:val="0"/>
    <w:pPr>
      <w:keepNext/>
      <w:keepLines/>
      <w:spacing w:beforeLines="0" w:beforeAutospacing="0" w:afterLines="0" w:afterAutospacing="0" w:line="360" w:lineRule="auto"/>
      <w:outlineLvl w:val="3"/>
    </w:pPr>
    <w:rPr>
      <w:rFonts w:ascii="Times New Roman" w:hAnsi="Times New Roman" w:eastAsia="宋体"/>
      <w:b/>
      <w:sz w:val="24"/>
    </w:rPr>
  </w:style>
  <w:style w:type="paragraph" w:styleId="8">
    <w:name w:val="heading 6"/>
    <w:basedOn w:val="1"/>
    <w:next w:val="1"/>
    <w:unhideWhenUsed/>
    <w:qFormat/>
    <w:uiPriority w:val="0"/>
    <w:pPr>
      <w:keepNext/>
      <w:keepLines/>
      <w:widowControl w:val="0"/>
      <w:outlineLvl w:val="5"/>
    </w:pPr>
    <w:rPr>
      <w:rFonts w:cstheme="minorBidi"/>
      <w:b/>
      <w:kern w:val="2"/>
      <w:szCs w:val="24"/>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9">
    <w:name w:val="annotation text"/>
    <w:basedOn w:val="1"/>
    <w:qFormat/>
    <w:uiPriority w:val="0"/>
    <w:pPr>
      <w:jc w:val="left"/>
    </w:pPr>
  </w:style>
  <w:style w:type="paragraph" w:styleId="10">
    <w:name w:val="toc 3"/>
    <w:basedOn w:val="1"/>
    <w:next w:val="1"/>
    <w:qFormat/>
    <w:uiPriority w:val="0"/>
    <w:pPr>
      <w:ind w:left="840" w:leftChars="400"/>
    </w:pPr>
  </w:style>
  <w:style w:type="paragraph" w:styleId="11">
    <w:name w:val="footer"/>
    <w:basedOn w:val="1"/>
    <w:unhideWhenUsed/>
    <w:qFormat/>
    <w:uiPriority w:val="0"/>
    <w:pPr>
      <w:tabs>
        <w:tab w:val="center" w:pos="4153"/>
        <w:tab w:val="right" w:pos="8306"/>
      </w:tabs>
      <w:adjustRightInd w:val="0"/>
      <w:snapToGrid w:val="0"/>
      <w:spacing w:line="360" w:lineRule="auto"/>
      <w:jc w:val="both"/>
    </w:pPr>
    <w:rPr>
      <w:rFonts w:ascii="Times New Roman" w:hAnsi="Times New Roman" w:eastAsia="宋体" w:cs="Times New Roman"/>
      <w:kern w:val="0"/>
      <w:sz w:val="18"/>
      <w:szCs w:val="18"/>
      <w:lang w:val="en-US" w:eastAsia="zh-CN" w:bidi="ar-SA"/>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table" w:styleId="16">
    <w:name w:val="Table Grid"/>
    <w:basedOn w:val="15"/>
    <w:qFormat/>
    <w:uiPriority w:val="5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21722</Words>
  <Characters>23119</Characters>
  <Lines>0</Lines>
  <Paragraphs>0</Paragraphs>
  <TotalTime>12</TotalTime>
  <ScaleCrop>false</ScaleCrop>
  <LinksUpToDate>false</LinksUpToDate>
  <CharactersWithSpaces>23530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2021-12-29T10:54:00Z</dcterms:created>
  <dc:creator>13560456602</dc:creator>
  <cp:lastModifiedBy>何宇峰</cp:lastModifiedBy>
  <cp:lastPrinted>2023-03-01T08:02:42Z</cp:lastPrinted>
  <dcterms:modified xsi:type="dcterms:W3CDTF">2023-03-02T00:55:38Z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1E12581A461046B88C4DA8A5AF3CD966</vt:lpwstr>
  </property>
</Properties>
</file>